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B33B" w14:textId="77777777" w:rsidR="001F4AA7" w:rsidRDefault="001F4AA7" w:rsidP="001F4AA7">
      <w:pPr>
        <w:pStyle w:val="Heading2"/>
        <w:numPr>
          <w:ilvl w:val="1"/>
          <w:numId w:val="0"/>
        </w:numPr>
        <w:tabs>
          <w:tab w:val="num" w:pos="360"/>
        </w:tabs>
      </w:pPr>
      <w:bookmarkStart w:id="0" w:name="_Toc201064379"/>
      <w:r>
        <w:t>Commercial Fuel Bunkering at CFL Operated Harbours – Procedure</w:t>
      </w:r>
      <w:bookmarkEnd w:id="0"/>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80" w:firstRow="0" w:lastRow="0" w:firstColumn="1" w:lastColumn="0" w:noHBand="0" w:noVBand="1"/>
      </w:tblPr>
      <w:tblGrid>
        <w:gridCol w:w="1691"/>
        <w:gridCol w:w="7305"/>
      </w:tblGrid>
      <w:tr w:rsidR="001F4AA7" w:rsidRPr="00D35454" w14:paraId="390D75CA" w14:textId="77777777" w:rsidTr="005F1D36">
        <w:trPr>
          <w:trHeight w:val="316"/>
        </w:trPr>
        <w:tc>
          <w:tcPr>
            <w:tcW w:w="940" w:type="pct"/>
          </w:tcPr>
          <w:p w14:paraId="52FDE155" w14:textId="77777777" w:rsidR="001F4AA7" w:rsidRPr="0038484D" w:rsidRDefault="001F4AA7" w:rsidP="005F1D36">
            <w:pPr>
              <w:rPr>
                <w:rFonts w:ascii="Arial" w:hAnsi="Arial" w:cs="Arial"/>
                <w:b/>
                <w:bCs/>
                <w:szCs w:val="20"/>
              </w:rPr>
            </w:pPr>
            <w:r w:rsidRPr="0038484D">
              <w:rPr>
                <w:rFonts w:ascii="Arial" w:hAnsi="Arial" w:cs="Arial"/>
                <w:b/>
                <w:bCs/>
                <w:szCs w:val="20"/>
              </w:rPr>
              <w:t>Activity</w:t>
            </w:r>
          </w:p>
        </w:tc>
        <w:tc>
          <w:tcPr>
            <w:tcW w:w="4060" w:type="pct"/>
          </w:tcPr>
          <w:p w14:paraId="70BA604E" w14:textId="77777777" w:rsidR="001F4AA7" w:rsidRPr="009E6BE9" w:rsidRDefault="001F4AA7" w:rsidP="005F1D36">
            <w:pPr>
              <w:pStyle w:val="BodyText"/>
              <w:spacing w:after="60"/>
              <w:rPr>
                <w:rFonts w:ascii="Arial" w:eastAsia="MS PGothic" w:hAnsi="Arial" w:cs="Arial"/>
                <w:szCs w:val="20"/>
              </w:rPr>
            </w:pPr>
            <w:r>
              <w:rPr>
                <w:rFonts w:ascii="Arial" w:eastAsia="MS PGothic" w:hAnsi="Arial" w:cs="Arial"/>
                <w:szCs w:val="20"/>
              </w:rPr>
              <w:t>Commercial Bunkering at CFL Operated Harbours</w:t>
            </w:r>
          </w:p>
        </w:tc>
      </w:tr>
      <w:tr w:rsidR="001F4AA7" w:rsidRPr="00D35454" w14:paraId="3081610B" w14:textId="77777777" w:rsidTr="005F1D36">
        <w:tc>
          <w:tcPr>
            <w:tcW w:w="940" w:type="pct"/>
          </w:tcPr>
          <w:p w14:paraId="546C9E1F" w14:textId="77777777" w:rsidR="001F4AA7" w:rsidRPr="0038484D" w:rsidRDefault="001F4AA7" w:rsidP="005F1D36">
            <w:pPr>
              <w:rPr>
                <w:rFonts w:ascii="Arial" w:hAnsi="Arial" w:cs="Arial"/>
                <w:b/>
                <w:bCs/>
                <w:szCs w:val="20"/>
              </w:rPr>
            </w:pPr>
            <w:r w:rsidRPr="0038484D">
              <w:rPr>
                <w:rFonts w:ascii="Arial" w:hAnsi="Arial" w:cs="Arial"/>
                <w:b/>
                <w:bCs/>
                <w:szCs w:val="20"/>
              </w:rPr>
              <w:t>Purpose / Scope</w:t>
            </w:r>
          </w:p>
        </w:tc>
        <w:tc>
          <w:tcPr>
            <w:tcW w:w="4060" w:type="pct"/>
          </w:tcPr>
          <w:p w14:paraId="65FAFFFF" w14:textId="77777777" w:rsidR="001F4AA7" w:rsidRDefault="001F4AA7" w:rsidP="005F1D36">
            <w:pPr>
              <w:spacing w:after="120"/>
              <w:jc w:val="both"/>
            </w:pPr>
            <w:r>
              <w:t xml:space="preserve">To provide consistent approach to commercial bunkering operations for CFL Operated Harbours. </w:t>
            </w:r>
          </w:p>
          <w:p w14:paraId="693BD9B0" w14:textId="77777777" w:rsidR="001F4AA7" w:rsidRDefault="001F4AA7" w:rsidP="005F1D36">
            <w:pPr>
              <w:spacing w:after="120"/>
              <w:jc w:val="both"/>
            </w:pPr>
            <w:r>
              <w:t>Applicable to commercial and fishing vessels less than 50gt; bunkering within ports/harbours within the limits of CFL operations transferring:</w:t>
            </w:r>
          </w:p>
          <w:p w14:paraId="381B1F09" w14:textId="77777777" w:rsidR="001F4AA7" w:rsidRDefault="001F4AA7" w:rsidP="001F4AA7">
            <w:pPr>
              <w:pStyle w:val="ListParagraph"/>
              <w:numPr>
                <w:ilvl w:val="0"/>
                <w:numId w:val="3"/>
              </w:numPr>
              <w:spacing w:after="120"/>
              <w:contextualSpacing w:val="0"/>
              <w:jc w:val="both"/>
            </w:pPr>
            <w:r>
              <w:t xml:space="preserve">liquid hydrocarbons intended for main propulsion and/or operation of auxiliary </w:t>
            </w:r>
            <w:proofErr w:type="gramStart"/>
            <w:r>
              <w:t>equipment;</w:t>
            </w:r>
            <w:proofErr w:type="gramEnd"/>
          </w:p>
          <w:p w14:paraId="03827DE8" w14:textId="77777777" w:rsidR="001F4AA7" w:rsidRDefault="001F4AA7" w:rsidP="001F4AA7">
            <w:pPr>
              <w:pStyle w:val="ListParagraph"/>
              <w:numPr>
                <w:ilvl w:val="0"/>
                <w:numId w:val="3"/>
              </w:numPr>
              <w:spacing w:after="120"/>
              <w:contextualSpacing w:val="0"/>
              <w:jc w:val="both"/>
            </w:pPr>
            <w:r>
              <w:t xml:space="preserve">lubrication for vessel’s engine or other </w:t>
            </w:r>
            <w:proofErr w:type="gramStart"/>
            <w:r>
              <w:t>machinery;</w:t>
            </w:r>
            <w:proofErr w:type="gramEnd"/>
          </w:p>
          <w:p w14:paraId="4024D465" w14:textId="77777777" w:rsidR="001F4AA7" w:rsidRDefault="001F4AA7" w:rsidP="001F4AA7">
            <w:pPr>
              <w:pStyle w:val="ListParagraph"/>
              <w:numPr>
                <w:ilvl w:val="0"/>
                <w:numId w:val="3"/>
              </w:numPr>
              <w:spacing w:after="120"/>
              <w:contextualSpacing w:val="0"/>
              <w:jc w:val="both"/>
            </w:pPr>
            <w:r>
              <w:t>waste oil.</w:t>
            </w:r>
          </w:p>
          <w:p w14:paraId="5FF4F97C" w14:textId="77777777" w:rsidR="001F4AA7" w:rsidRDefault="001F4AA7" w:rsidP="005F1D36">
            <w:pPr>
              <w:spacing w:after="120"/>
              <w:jc w:val="both"/>
            </w:pPr>
            <w:r>
              <w:t>Excludes:</w:t>
            </w:r>
          </w:p>
          <w:p w14:paraId="5413FF3C" w14:textId="77777777" w:rsidR="001F4AA7" w:rsidRDefault="001F4AA7" w:rsidP="001F4AA7">
            <w:pPr>
              <w:pStyle w:val="ListParagraph"/>
              <w:numPr>
                <w:ilvl w:val="0"/>
                <w:numId w:val="4"/>
              </w:numPr>
              <w:spacing w:after="120"/>
              <w:contextualSpacing w:val="0"/>
              <w:jc w:val="both"/>
            </w:pPr>
            <w:r>
              <w:t xml:space="preserve">CalMac Ferries Ltd operated </w:t>
            </w:r>
            <w:proofErr w:type="gramStart"/>
            <w:r>
              <w:t>vessels;</w:t>
            </w:r>
            <w:proofErr w:type="gramEnd"/>
          </w:p>
          <w:p w14:paraId="1E337DEF" w14:textId="77777777" w:rsidR="001F4AA7" w:rsidRDefault="001F4AA7" w:rsidP="001F4AA7">
            <w:pPr>
              <w:pStyle w:val="ListParagraph"/>
              <w:numPr>
                <w:ilvl w:val="0"/>
                <w:numId w:val="4"/>
              </w:numPr>
              <w:spacing w:after="120"/>
              <w:contextualSpacing w:val="0"/>
              <w:jc w:val="both"/>
            </w:pPr>
            <w:r>
              <w:t xml:space="preserve">Transfer of liquid hydrocarbons between two vessels where the product is deemed cargo (requires an oil transfer licence as per Merchant Shipping (Ship to Ship Transfer Regulations </w:t>
            </w:r>
            <w:proofErr w:type="gramStart"/>
            <w:r>
              <w:t>2012/742;</w:t>
            </w:r>
            <w:proofErr w:type="gramEnd"/>
          </w:p>
          <w:p w14:paraId="38730B32" w14:textId="77777777" w:rsidR="001F4AA7" w:rsidRPr="00641964" w:rsidRDefault="001F4AA7" w:rsidP="001F4AA7">
            <w:pPr>
              <w:pStyle w:val="ListParagraph"/>
              <w:numPr>
                <w:ilvl w:val="0"/>
                <w:numId w:val="4"/>
              </w:numPr>
              <w:spacing w:after="120"/>
              <w:contextualSpacing w:val="0"/>
              <w:jc w:val="both"/>
            </w:pPr>
            <w:r>
              <w:t>Unless authorised by Area Harbour Manager, bunkering by barge/tanker is only permitted during daylight hours.</w:t>
            </w:r>
          </w:p>
        </w:tc>
      </w:tr>
      <w:tr w:rsidR="001F4AA7" w:rsidRPr="00D35454" w14:paraId="34C158D5" w14:textId="77777777" w:rsidTr="005F1D36">
        <w:tc>
          <w:tcPr>
            <w:tcW w:w="940" w:type="pct"/>
          </w:tcPr>
          <w:p w14:paraId="6E74C1B4" w14:textId="77777777" w:rsidR="001F4AA7" w:rsidRPr="0038484D" w:rsidRDefault="001F4AA7" w:rsidP="005F1D36">
            <w:pPr>
              <w:rPr>
                <w:rFonts w:ascii="Arial" w:hAnsi="Arial" w:cs="Arial"/>
                <w:b/>
                <w:bCs/>
                <w:szCs w:val="20"/>
              </w:rPr>
            </w:pPr>
            <w:r w:rsidRPr="0038484D">
              <w:rPr>
                <w:rFonts w:ascii="Arial" w:hAnsi="Arial" w:cs="Arial"/>
                <w:b/>
                <w:bCs/>
                <w:szCs w:val="20"/>
              </w:rPr>
              <w:t>Responsibilities</w:t>
            </w:r>
          </w:p>
        </w:tc>
        <w:tc>
          <w:tcPr>
            <w:tcW w:w="4060" w:type="pct"/>
          </w:tcPr>
          <w:p w14:paraId="10380703" w14:textId="77777777" w:rsidR="001F4AA7" w:rsidRDefault="001F4AA7" w:rsidP="005F1D36">
            <w:pPr>
              <w:jc w:val="both"/>
              <w:rPr>
                <w:rFonts w:ascii="Arial" w:hAnsi="Arial" w:cs="Arial"/>
                <w:szCs w:val="20"/>
              </w:rPr>
            </w:pPr>
            <w:r>
              <w:rPr>
                <w:rFonts w:ascii="Arial" w:hAnsi="Arial" w:cs="Arial"/>
                <w:szCs w:val="20"/>
              </w:rPr>
              <w:t xml:space="preserve">Master/Skipper </w:t>
            </w:r>
            <w:proofErr w:type="gramStart"/>
            <w:r>
              <w:rPr>
                <w:rFonts w:ascii="Arial" w:hAnsi="Arial" w:cs="Arial"/>
                <w:szCs w:val="20"/>
              </w:rPr>
              <w:t>is in charge of</w:t>
            </w:r>
            <w:proofErr w:type="gramEnd"/>
            <w:r>
              <w:rPr>
                <w:rFonts w:ascii="Arial" w:hAnsi="Arial" w:cs="Arial"/>
                <w:szCs w:val="20"/>
              </w:rPr>
              <w:t xml:space="preserve"> the bunkering operation.</w:t>
            </w:r>
          </w:p>
          <w:p w14:paraId="5071B1DD" w14:textId="77777777" w:rsidR="001F4AA7" w:rsidRPr="009E6BE9" w:rsidRDefault="001F4AA7" w:rsidP="005F1D36">
            <w:pPr>
              <w:jc w:val="both"/>
              <w:rPr>
                <w:rFonts w:ascii="Arial" w:hAnsi="Arial" w:cs="Arial"/>
                <w:szCs w:val="20"/>
              </w:rPr>
            </w:pPr>
            <w:r>
              <w:rPr>
                <w:rFonts w:ascii="Arial" w:hAnsi="Arial" w:cs="Arial"/>
                <w:szCs w:val="20"/>
              </w:rPr>
              <w:t>Port Manager (as Harbour Operator) is responsible for adherence to these procedures.</w:t>
            </w:r>
          </w:p>
        </w:tc>
      </w:tr>
      <w:tr w:rsidR="001F4AA7" w:rsidRPr="00D35454" w14:paraId="4FE6C1B7" w14:textId="77777777" w:rsidTr="005F1D36">
        <w:tc>
          <w:tcPr>
            <w:tcW w:w="940" w:type="pct"/>
          </w:tcPr>
          <w:p w14:paraId="782ADFF1" w14:textId="77777777" w:rsidR="001F4AA7" w:rsidRPr="0038484D" w:rsidRDefault="001F4AA7" w:rsidP="005F1D36">
            <w:pPr>
              <w:rPr>
                <w:rFonts w:ascii="Arial" w:hAnsi="Arial" w:cs="Arial"/>
                <w:b/>
                <w:bCs/>
                <w:szCs w:val="20"/>
              </w:rPr>
            </w:pPr>
            <w:r w:rsidRPr="0038484D">
              <w:rPr>
                <w:rFonts w:ascii="Arial" w:hAnsi="Arial" w:cs="Arial"/>
                <w:b/>
                <w:bCs/>
                <w:szCs w:val="20"/>
              </w:rPr>
              <w:t>Procedure</w:t>
            </w:r>
          </w:p>
        </w:tc>
        <w:tc>
          <w:tcPr>
            <w:tcW w:w="4060" w:type="pct"/>
          </w:tcPr>
          <w:p w14:paraId="1FDE0FE6" w14:textId="77777777" w:rsidR="001F4AA7" w:rsidRPr="00787F9D" w:rsidRDefault="001F4AA7" w:rsidP="001F4AA7">
            <w:pPr>
              <w:pStyle w:val="ListParagraph"/>
              <w:numPr>
                <w:ilvl w:val="0"/>
                <w:numId w:val="5"/>
              </w:numPr>
              <w:autoSpaceDE w:val="0"/>
              <w:autoSpaceDN w:val="0"/>
              <w:adjustRightInd w:val="0"/>
              <w:spacing w:after="60"/>
              <w:contextualSpacing w:val="0"/>
              <w:jc w:val="both"/>
            </w:pPr>
            <w:r w:rsidRPr="00787F9D">
              <w:rPr>
                <w:rFonts w:ascii="Arial" w:hAnsi="Arial" w:cs="Arial"/>
              </w:rPr>
              <w:t>Port Manager receives notification from Master/Skipper to bunker, which must be submitted before commencement of bunkering with 24 hours’ notice. At this time, the Port Manager can refuse the bunkering request, if there are conflicting activities and safe transfer cannot be assured.</w:t>
            </w:r>
          </w:p>
          <w:p w14:paraId="25149B09" w14:textId="77777777" w:rsidR="001F4AA7" w:rsidRPr="00F300D7" w:rsidRDefault="001F4AA7" w:rsidP="001F4AA7">
            <w:pPr>
              <w:pStyle w:val="ListParagraph"/>
              <w:numPr>
                <w:ilvl w:val="0"/>
                <w:numId w:val="5"/>
              </w:numPr>
              <w:autoSpaceDE w:val="0"/>
              <w:autoSpaceDN w:val="0"/>
              <w:adjustRightInd w:val="0"/>
              <w:spacing w:after="60"/>
              <w:contextualSpacing w:val="0"/>
              <w:jc w:val="both"/>
            </w:pPr>
            <w:r w:rsidRPr="00787F9D">
              <w:rPr>
                <w:rFonts w:ascii="Arial" w:hAnsi="Arial" w:cs="Arial"/>
              </w:rPr>
              <w:t xml:space="preserve">The supplier’s representative and Officer in Charge shall complete the </w:t>
            </w:r>
            <w:r>
              <w:rPr>
                <w:rFonts w:ascii="Arial" w:hAnsi="Arial" w:cs="Arial"/>
              </w:rPr>
              <w:t xml:space="preserve">applicable CFL Bunkering Checklist </w:t>
            </w:r>
            <w:r w:rsidRPr="00787F9D">
              <w:rPr>
                <w:rFonts w:ascii="Arial" w:hAnsi="Arial" w:cs="Arial"/>
              </w:rPr>
              <w:t xml:space="preserve">form </w:t>
            </w:r>
            <w:r>
              <w:rPr>
                <w:rFonts w:ascii="Arial" w:hAnsi="Arial" w:cs="Arial"/>
              </w:rPr>
              <w:t xml:space="preserve">provided </w:t>
            </w:r>
            <w:r w:rsidRPr="00787F9D">
              <w:rPr>
                <w:rFonts w:ascii="Arial" w:hAnsi="Arial" w:cs="Arial"/>
              </w:rPr>
              <w:t xml:space="preserve">below before bunkering </w:t>
            </w:r>
            <w:r>
              <w:rPr>
                <w:rFonts w:ascii="Arial" w:hAnsi="Arial" w:cs="Arial"/>
              </w:rPr>
              <w:t>commences</w:t>
            </w:r>
            <w:r w:rsidRPr="00787F9D">
              <w:rPr>
                <w:rFonts w:ascii="Arial" w:hAnsi="Arial" w:cs="Arial"/>
              </w:rPr>
              <w:t>:</w:t>
            </w:r>
          </w:p>
          <w:p w14:paraId="228C6FC1" w14:textId="303E9B64" w:rsidR="001F4AA7" w:rsidRPr="001C2554" w:rsidRDefault="001F4AA7" w:rsidP="001F4AA7">
            <w:pPr>
              <w:numPr>
                <w:ilvl w:val="0"/>
                <w:numId w:val="1"/>
              </w:numPr>
              <w:autoSpaceDE w:val="0"/>
              <w:autoSpaceDN w:val="0"/>
              <w:adjustRightInd w:val="0"/>
              <w:spacing w:after="60"/>
              <w:jc w:val="both"/>
              <w:rPr>
                <w:rStyle w:val="Hyperlink"/>
              </w:rPr>
            </w:pPr>
            <w:r>
              <w:rPr>
                <w:rStyle w:val="normaltextrun"/>
                <w:rFonts w:ascii="Tahoma" w:hAnsi="Tahoma" w:cs="Tahoma"/>
                <w:color w:val="0000FF"/>
                <w:u w:val="single"/>
              </w:rPr>
              <w:fldChar w:fldCharType="begin"/>
            </w:r>
            <w:r w:rsidR="005D1BAE">
              <w:rPr>
                <w:rStyle w:val="normaltextrun"/>
                <w:rFonts w:ascii="Tahoma" w:hAnsi="Tahoma" w:cs="Tahoma"/>
                <w:color w:val="0000FF"/>
                <w:u w:val="single"/>
              </w:rPr>
              <w:instrText>HYPERLINK "https://assets.calmac.co.uk/media/5xrdgpeg/chfs-omm-fo071-ma001-form-2167-pre-delivery-bunkering-procedures-checklist-svs-fishing-vsls.docx" \t "_blank"</w:instrText>
            </w:r>
            <w:r w:rsidR="005D1BAE">
              <w:rPr>
                <w:rStyle w:val="normaltextrun"/>
                <w:rFonts w:ascii="Tahoma" w:hAnsi="Tahoma" w:cs="Tahoma"/>
                <w:color w:val="0000FF"/>
                <w:u w:val="single"/>
              </w:rPr>
            </w:r>
            <w:r>
              <w:rPr>
                <w:rStyle w:val="normaltextrun"/>
                <w:rFonts w:ascii="Tahoma" w:hAnsi="Tahoma" w:cs="Tahoma"/>
                <w:color w:val="0000FF"/>
                <w:u w:val="single"/>
              </w:rPr>
              <w:fldChar w:fldCharType="separate"/>
            </w:r>
            <w:r w:rsidRPr="001C2554">
              <w:rPr>
                <w:rStyle w:val="Hyperlink"/>
                <w:rFonts w:ascii="Tahoma" w:hAnsi="Tahoma" w:cs="Tahoma"/>
              </w:rPr>
              <w:t>Form 2.167 - Small Commercial and Fishing Vessels (&lt;50gt) </w:t>
            </w:r>
          </w:p>
          <w:p w14:paraId="00A7FD88" w14:textId="5DA150B7" w:rsidR="001F4AA7" w:rsidRPr="00BB70DC" w:rsidRDefault="001F4AA7" w:rsidP="001F4AA7">
            <w:pPr>
              <w:pStyle w:val="ListParagraph"/>
              <w:numPr>
                <w:ilvl w:val="0"/>
                <w:numId w:val="1"/>
              </w:numPr>
              <w:autoSpaceDE w:val="0"/>
              <w:autoSpaceDN w:val="0"/>
              <w:adjustRightInd w:val="0"/>
              <w:spacing w:after="60"/>
              <w:contextualSpacing w:val="0"/>
              <w:jc w:val="both"/>
            </w:pPr>
            <w:r>
              <w:rPr>
                <w:rStyle w:val="normaltextrun"/>
                <w:rFonts w:ascii="Tahoma" w:hAnsi="Tahoma" w:cs="Tahoma"/>
                <w:color w:val="0000FF"/>
                <w:u w:val="single"/>
              </w:rPr>
              <w:fldChar w:fldCharType="end"/>
            </w:r>
            <w:hyperlink r:id="rId7" w:tgtFrame="_blank" w:history="1">
              <w:r w:rsidRPr="00BB70DC">
                <w:rPr>
                  <w:rStyle w:val="normaltextrun"/>
                  <w:rFonts w:ascii="Tahoma" w:hAnsi="Tahoma" w:cs="Tahoma"/>
                  <w:color w:val="0000FF"/>
                  <w:u w:val="single"/>
                </w:rPr>
                <w:t>Form 2.168 - Commercial Vessels (&gt;50gt) For Barge Delivery</w:t>
              </w:r>
            </w:hyperlink>
            <w:r w:rsidRPr="00BB70DC">
              <w:rPr>
                <w:rFonts w:ascii="Tahoma" w:hAnsi="Tahoma" w:cs="Tahoma"/>
              </w:rPr>
              <w:t xml:space="preserve"> </w:t>
            </w:r>
          </w:p>
          <w:p w14:paraId="47B609A5" w14:textId="277C0E73" w:rsidR="001F4AA7" w:rsidRPr="00BB70DC" w:rsidRDefault="001F4AA7" w:rsidP="001F4AA7">
            <w:pPr>
              <w:pStyle w:val="ListParagraph"/>
              <w:numPr>
                <w:ilvl w:val="0"/>
                <w:numId w:val="1"/>
              </w:numPr>
              <w:autoSpaceDE w:val="0"/>
              <w:autoSpaceDN w:val="0"/>
              <w:adjustRightInd w:val="0"/>
              <w:spacing w:after="60"/>
              <w:contextualSpacing w:val="0"/>
              <w:jc w:val="both"/>
            </w:pPr>
            <w:hyperlink r:id="rId8" w:tgtFrame="_blank" w:history="1">
              <w:r w:rsidRPr="00BB70DC">
                <w:rPr>
                  <w:rStyle w:val="normaltextrun"/>
                  <w:rFonts w:ascii="Tahoma" w:hAnsi="Tahoma" w:cs="Tahoma"/>
                  <w:color w:val="0000FF"/>
                  <w:u w:val="single"/>
                </w:rPr>
                <w:t>Form 2.169 - Commercial Vessels (&gt;50gt) For Road Tanker Delivery</w:t>
              </w:r>
            </w:hyperlink>
            <w:r w:rsidRPr="00BB70DC">
              <w:rPr>
                <w:rStyle w:val="eop"/>
                <w:rFonts w:ascii="Tahoma" w:hAnsi="Tahoma" w:cs="Tahoma"/>
              </w:rPr>
              <w:t> </w:t>
            </w:r>
          </w:p>
          <w:p w14:paraId="2D9CE479" w14:textId="34EFD85D" w:rsidR="001F4AA7" w:rsidRDefault="001F4AA7" w:rsidP="001F4AA7">
            <w:pPr>
              <w:pStyle w:val="paragraph"/>
              <w:numPr>
                <w:ilvl w:val="0"/>
                <w:numId w:val="1"/>
              </w:numPr>
              <w:spacing w:before="0" w:beforeAutospacing="0" w:after="0" w:afterAutospacing="0"/>
              <w:jc w:val="both"/>
              <w:textAlignment w:val="baseline"/>
              <w:rPr>
                <w:rFonts w:ascii="Tahoma" w:hAnsi="Tahoma" w:cs="Tahoma"/>
                <w:sz w:val="22"/>
                <w:szCs w:val="22"/>
              </w:rPr>
            </w:pPr>
            <w:hyperlink r:id="rId9" w:tgtFrame="_blank" w:history="1">
              <w:r>
                <w:rPr>
                  <w:rStyle w:val="normaltextrun"/>
                  <w:rFonts w:ascii="Tahoma" w:hAnsi="Tahoma" w:cs="Tahoma"/>
                  <w:color w:val="0000FF"/>
                  <w:sz w:val="22"/>
                  <w:szCs w:val="22"/>
                  <w:u w:val="single"/>
                </w:rPr>
                <w:t>Form 2.170 - Commercial Vessels (&gt;50gt) For Truck / Lorry Delivery</w:t>
              </w:r>
            </w:hyperlink>
            <w:r>
              <w:rPr>
                <w:rStyle w:val="eop"/>
                <w:rFonts w:ascii="Tahoma" w:hAnsi="Tahoma" w:cs="Tahoma"/>
                <w:sz w:val="22"/>
                <w:szCs w:val="22"/>
              </w:rPr>
              <w:t> </w:t>
            </w:r>
          </w:p>
          <w:p w14:paraId="76F5B99D" w14:textId="5B11906D" w:rsidR="001F4AA7" w:rsidRPr="00291A72" w:rsidRDefault="001F4AA7" w:rsidP="001F4AA7">
            <w:pPr>
              <w:pStyle w:val="paragraph"/>
              <w:numPr>
                <w:ilvl w:val="0"/>
                <w:numId w:val="1"/>
              </w:numPr>
              <w:spacing w:before="0" w:beforeAutospacing="0" w:after="0" w:afterAutospacing="0"/>
              <w:jc w:val="both"/>
              <w:textAlignment w:val="baseline"/>
              <w:rPr>
                <w:rStyle w:val="Hyperlink"/>
                <w:rFonts w:ascii="Tahoma" w:hAnsi="Tahoma" w:cs="Tahoma"/>
                <w:sz w:val="22"/>
                <w:szCs w:val="22"/>
              </w:rPr>
            </w:pPr>
            <w:r>
              <w:rPr>
                <w:rStyle w:val="normaltextrun"/>
                <w:rFonts w:ascii="Tahoma" w:hAnsi="Tahoma" w:cs="Tahoma"/>
                <w:color w:val="0000FF"/>
                <w:sz w:val="22"/>
                <w:szCs w:val="22"/>
                <w:u w:val="single"/>
              </w:rPr>
              <w:fldChar w:fldCharType="begin"/>
            </w:r>
            <w:r w:rsidR="005D1BAE">
              <w:rPr>
                <w:rStyle w:val="normaltextrun"/>
                <w:rFonts w:ascii="Tahoma" w:hAnsi="Tahoma" w:cs="Tahoma"/>
                <w:color w:val="0000FF"/>
                <w:sz w:val="22"/>
                <w:szCs w:val="22"/>
                <w:u w:val="single"/>
              </w:rPr>
              <w:instrText>HYPERLINK "https://assets.calmac.co.uk/media/tpemr5jx/chfs-omm-fo067-ma001-form-2171-pre-delivery-bunkering-procedures-checklist-pipeline-delivery.docx" \t "_blank"</w:instrText>
            </w:r>
            <w:r w:rsidR="005D1BAE">
              <w:rPr>
                <w:rStyle w:val="normaltextrun"/>
                <w:rFonts w:ascii="Tahoma" w:hAnsi="Tahoma" w:cs="Tahoma"/>
                <w:color w:val="0000FF"/>
                <w:sz w:val="22"/>
                <w:szCs w:val="22"/>
                <w:u w:val="single"/>
              </w:rPr>
            </w:r>
            <w:r>
              <w:rPr>
                <w:rStyle w:val="normaltextrun"/>
                <w:rFonts w:ascii="Tahoma" w:hAnsi="Tahoma" w:cs="Tahoma"/>
                <w:color w:val="0000FF"/>
                <w:sz w:val="22"/>
                <w:szCs w:val="22"/>
                <w:u w:val="single"/>
              </w:rPr>
              <w:fldChar w:fldCharType="separate"/>
            </w:r>
            <w:r w:rsidRPr="00291A72">
              <w:rPr>
                <w:rStyle w:val="Hyperlink"/>
                <w:rFonts w:ascii="Tahoma" w:hAnsi="Tahoma" w:cs="Tahoma"/>
                <w:sz w:val="22"/>
                <w:szCs w:val="22"/>
              </w:rPr>
              <w:t>Form 2.171 - Commercial Vessels (&gt;50gt) For Pipeline Delivery </w:t>
            </w:r>
          </w:p>
          <w:p w14:paraId="4BDEBD10" w14:textId="77777777" w:rsidR="001F4AA7" w:rsidRPr="00D20242" w:rsidRDefault="001F4AA7" w:rsidP="005F1D36">
            <w:pPr>
              <w:pStyle w:val="ListParagraph"/>
              <w:rPr>
                <w:rStyle w:val="normaltextrun"/>
              </w:rPr>
            </w:pPr>
            <w:r>
              <w:rPr>
                <w:rStyle w:val="normaltextrun"/>
                <w:rFonts w:ascii="Tahoma" w:eastAsia="Times New Roman" w:hAnsi="Tahoma" w:cs="Tahoma"/>
                <w:color w:val="0000FF"/>
                <w:u w:val="single"/>
                <w:lang w:eastAsia="en-GB"/>
              </w:rPr>
              <w:fldChar w:fldCharType="end"/>
            </w:r>
          </w:p>
          <w:p w14:paraId="3B07E08F" w14:textId="77777777" w:rsidR="001F4AA7" w:rsidRDefault="001F4AA7" w:rsidP="001F4AA7">
            <w:pPr>
              <w:pStyle w:val="ListParagraph"/>
              <w:numPr>
                <w:ilvl w:val="0"/>
                <w:numId w:val="5"/>
              </w:numPr>
              <w:spacing w:after="60"/>
              <w:contextualSpacing w:val="0"/>
            </w:pPr>
            <w:r>
              <w:t>Either the supplier’s representative, Officer in Charge or Port Manager can stop delivery if they believe a safe transfer cannot be assured, or the pre checklist has not been completed.</w:t>
            </w:r>
          </w:p>
          <w:p w14:paraId="383EAE4F" w14:textId="77777777" w:rsidR="001F4AA7" w:rsidRPr="00D20242" w:rsidRDefault="001F4AA7" w:rsidP="001F4AA7">
            <w:pPr>
              <w:pStyle w:val="ListParagraph"/>
              <w:numPr>
                <w:ilvl w:val="0"/>
                <w:numId w:val="5"/>
              </w:numPr>
              <w:spacing w:after="60"/>
              <w:contextualSpacing w:val="0"/>
            </w:pPr>
            <w:r w:rsidRPr="00D20242">
              <w:rPr>
                <w:rFonts w:ascii="Arial" w:hAnsi="Arial" w:cs="Arial"/>
              </w:rPr>
              <w:t>Bunkering during cargo operations: Port Manager should obtain result of Master/Skipper risk assessment.</w:t>
            </w:r>
          </w:p>
          <w:p w14:paraId="57B1D6CD" w14:textId="77777777" w:rsidR="001F4AA7" w:rsidRPr="00D20242" w:rsidRDefault="001F4AA7" w:rsidP="001F4AA7">
            <w:pPr>
              <w:pStyle w:val="ListParagraph"/>
              <w:numPr>
                <w:ilvl w:val="0"/>
                <w:numId w:val="5"/>
              </w:numPr>
              <w:spacing w:after="60"/>
              <w:contextualSpacing w:val="0"/>
            </w:pPr>
            <w:r w:rsidRPr="00D20242">
              <w:rPr>
                <w:rFonts w:ascii="Arial" w:hAnsi="Arial" w:cs="Arial"/>
              </w:rPr>
              <w:t>All oil spills should be reported to the Port Manager.</w:t>
            </w:r>
          </w:p>
          <w:p w14:paraId="5C8A68F6" w14:textId="77777777" w:rsidR="001F4AA7" w:rsidRPr="00AA70D3" w:rsidRDefault="001F4AA7" w:rsidP="001F4AA7">
            <w:pPr>
              <w:pStyle w:val="ListParagraph"/>
              <w:numPr>
                <w:ilvl w:val="0"/>
                <w:numId w:val="5"/>
              </w:numPr>
              <w:spacing w:after="60"/>
              <w:contextualSpacing w:val="0"/>
            </w:pPr>
            <w:r w:rsidRPr="00D20242">
              <w:rPr>
                <w:rFonts w:ascii="Arial" w:hAnsi="Arial" w:cs="Arial"/>
              </w:rPr>
              <w:lastRenderedPageBreak/>
              <w:t>Port Manager shall invoke shore Oil Spill Contingency Plan (OSCP) as required.</w:t>
            </w:r>
          </w:p>
          <w:p w14:paraId="44E99430" w14:textId="77777777" w:rsidR="001F4AA7" w:rsidRPr="00AA70D3" w:rsidRDefault="001F4AA7" w:rsidP="001F4AA7">
            <w:pPr>
              <w:pStyle w:val="ListParagraph"/>
              <w:numPr>
                <w:ilvl w:val="0"/>
                <w:numId w:val="5"/>
              </w:numPr>
              <w:spacing w:after="60"/>
              <w:contextualSpacing w:val="0"/>
            </w:pPr>
            <w:r w:rsidRPr="00AA70D3">
              <w:rPr>
                <w:rFonts w:ascii="Arial" w:hAnsi="Arial" w:cs="Arial"/>
              </w:rPr>
              <w:t xml:space="preserve">Changes to bunkering requirements will require repeat/review of above checklists. </w:t>
            </w:r>
          </w:p>
        </w:tc>
      </w:tr>
    </w:tbl>
    <w:p w14:paraId="12CFCD4F" w14:textId="77777777" w:rsidR="001F4AA7" w:rsidRPr="00AE0DC4" w:rsidRDefault="001F4AA7" w:rsidP="001F4AA7">
      <w:pPr>
        <w:pStyle w:val="BodyText"/>
      </w:pPr>
    </w:p>
    <w:p w14:paraId="4904154F" w14:textId="77777777" w:rsidR="001F4AA7" w:rsidRDefault="001F4AA7" w:rsidP="001F4AA7">
      <w:pPr>
        <w:pStyle w:val="Heading2"/>
      </w:pPr>
      <w:bookmarkStart w:id="1" w:name="_Toc201064380"/>
      <w:r>
        <w:t>Transfer of small quantity oils and liquid pollutants ashore</w:t>
      </w:r>
      <w:bookmarkEnd w:id="1"/>
    </w:p>
    <w:p w14:paraId="3CB247B9" w14:textId="77777777" w:rsidR="001F4AA7" w:rsidRPr="00230BF9" w:rsidRDefault="001F4AA7" w:rsidP="001F4AA7">
      <w:pPr>
        <w:pStyle w:val="BodyText"/>
      </w:pPr>
      <w:r w:rsidRPr="00230BF9">
        <w:t xml:space="preserve">The transfer of oils or liquid pollutants ashore in smaller quantities </w:t>
      </w:r>
      <w:r>
        <w:t xml:space="preserve">– </w:t>
      </w:r>
      <w:r w:rsidRPr="00230BF9">
        <w:t>for example</w:t>
      </w:r>
      <w:r>
        <w:t>,</w:t>
      </w:r>
      <w:r w:rsidRPr="00230BF9">
        <w:t xml:space="preserve"> in suitable drums or Intermediate Bulk Containers (IBCs) </w:t>
      </w:r>
      <w:r>
        <w:t xml:space="preserve">– </w:t>
      </w:r>
      <w:r w:rsidRPr="00230BF9">
        <w:t>shall not require use of the Bunkering</w:t>
      </w:r>
      <w:r>
        <w:t xml:space="preserve"> </w:t>
      </w:r>
      <w:r w:rsidRPr="00230BF9">
        <w:t>Checklist</w:t>
      </w:r>
      <w:r>
        <w:t xml:space="preserve">. </w:t>
      </w:r>
      <w:r w:rsidRPr="00230BF9">
        <w:t>However</w:t>
      </w:r>
      <w:r>
        <w:t>,</w:t>
      </w:r>
      <w:r w:rsidRPr="00230BF9">
        <w:t xml:space="preserve"> the operation shall be subject to Risk Assessment. The following </w:t>
      </w:r>
      <w:proofErr w:type="gramStart"/>
      <w:r w:rsidRPr="00230BF9">
        <w:t xml:space="preserve">aspects </w:t>
      </w:r>
      <w:r>
        <w:t xml:space="preserve"> </w:t>
      </w:r>
      <w:r w:rsidRPr="00230BF9">
        <w:t>of</w:t>
      </w:r>
      <w:proofErr w:type="gramEnd"/>
      <w:r w:rsidRPr="00230BF9">
        <w:t xml:space="preserve"> the operation shall be among those considered:</w:t>
      </w:r>
    </w:p>
    <w:p w14:paraId="1E765DC0" w14:textId="77777777" w:rsidR="001F4AA7" w:rsidRPr="00230BF9" w:rsidRDefault="001F4AA7" w:rsidP="001F4AA7">
      <w:pPr>
        <w:pStyle w:val="BodyText"/>
        <w:numPr>
          <w:ilvl w:val="0"/>
          <w:numId w:val="2"/>
        </w:numPr>
      </w:pPr>
      <w:r>
        <w:t xml:space="preserve">How the receptacles will be moved (manually, </w:t>
      </w:r>
      <w:r w:rsidRPr="00230BF9">
        <w:t>forklifts or other machinery</w:t>
      </w:r>
      <w:r>
        <w:t>),</w:t>
      </w:r>
      <w:r w:rsidRPr="00230BF9">
        <w:t xml:space="preserve"> including any limitations imposed on equipment used through vessel ramp angle and the presence of icy or otherwise slippery </w:t>
      </w:r>
      <w:proofErr w:type="gramStart"/>
      <w:r w:rsidRPr="00230BF9">
        <w:t>surfaces</w:t>
      </w:r>
      <w:r>
        <w:t>;</w:t>
      </w:r>
      <w:proofErr w:type="gramEnd"/>
    </w:p>
    <w:p w14:paraId="3DF7448D" w14:textId="77777777" w:rsidR="001F4AA7" w:rsidRPr="00230BF9" w:rsidRDefault="001F4AA7" w:rsidP="001F4AA7">
      <w:pPr>
        <w:pStyle w:val="BodyText"/>
        <w:numPr>
          <w:ilvl w:val="0"/>
          <w:numId w:val="2"/>
        </w:numPr>
      </w:pPr>
      <w:r w:rsidRPr="00230BF9">
        <w:t xml:space="preserve">The securing of drums or IBCs during </w:t>
      </w:r>
      <w:proofErr w:type="gramStart"/>
      <w:r w:rsidRPr="00230BF9">
        <w:t>transfer</w:t>
      </w:r>
      <w:r>
        <w:t>;</w:t>
      </w:r>
      <w:proofErr w:type="gramEnd"/>
    </w:p>
    <w:p w14:paraId="520D98BB" w14:textId="77777777" w:rsidR="001F4AA7" w:rsidRPr="00230BF9" w:rsidRDefault="001F4AA7" w:rsidP="001F4AA7">
      <w:pPr>
        <w:pStyle w:val="BodyText"/>
        <w:numPr>
          <w:ilvl w:val="0"/>
          <w:numId w:val="2"/>
        </w:numPr>
      </w:pPr>
      <w:r w:rsidRPr="00230BF9">
        <w:t xml:space="preserve">The safe movement of personnel or passengers in the vicinity of working forklifts or other vehicles or devices in </w:t>
      </w:r>
      <w:proofErr w:type="gramStart"/>
      <w:r w:rsidRPr="00230BF9">
        <w:t>use</w:t>
      </w:r>
      <w:r>
        <w:t>;</w:t>
      </w:r>
      <w:proofErr w:type="gramEnd"/>
    </w:p>
    <w:p w14:paraId="6EA93105" w14:textId="77777777" w:rsidR="001F4AA7" w:rsidRPr="00230BF9" w:rsidRDefault="001F4AA7" w:rsidP="001F4AA7">
      <w:pPr>
        <w:pStyle w:val="BodyText"/>
        <w:numPr>
          <w:ilvl w:val="0"/>
          <w:numId w:val="2"/>
        </w:numPr>
      </w:pPr>
      <w:r w:rsidRPr="00230BF9">
        <w:t xml:space="preserve">The provision of pollution control equipment should any leakage </w:t>
      </w:r>
      <w:proofErr w:type="gramStart"/>
      <w:r w:rsidRPr="00230BF9">
        <w:t>occur</w:t>
      </w:r>
      <w:r>
        <w:t>;</w:t>
      </w:r>
      <w:proofErr w:type="gramEnd"/>
    </w:p>
    <w:p w14:paraId="6BCA8D04" w14:textId="77777777" w:rsidR="001F4AA7" w:rsidRDefault="001F4AA7" w:rsidP="001F4AA7">
      <w:pPr>
        <w:pStyle w:val="BodyText"/>
        <w:numPr>
          <w:ilvl w:val="0"/>
          <w:numId w:val="2"/>
        </w:numPr>
      </w:pPr>
      <w:r w:rsidRPr="00230BF9">
        <w:t xml:space="preserve">Procedures for recording the transfer of oils or liquid pollutants to a receptacle or designated area </w:t>
      </w:r>
      <w:proofErr w:type="gramStart"/>
      <w:r w:rsidRPr="00230BF9">
        <w:t>ashore</w:t>
      </w:r>
      <w:r>
        <w:t>;</w:t>
      </w:r>
      <w:proofErr w:type="gramEnd"/>
    </w:p>
    <w:p w14:paraId="5490CA90" w14:textId="77777777" w:rsidR="001F4AA7" w:rsidRDefault="001F4AA7" w:rsidP="001F4AA7">
      <w:pPr>
        <w:pStyle w:val="BodyText"/>
        <w:numPr>
          <w:ilvl w:val="0"/>
          <w:numId w:val="2"/>
        </w:numPr>
      </w:pPr>
      <w:r>
        <w:t xml:space="preserve">Availability of designated area </w:t>
      </w:r>
      <w:proofErr w:type="gramStart"/>
      <w:r>
        <w:t>ashore;</w:t>
      </w:r>
      <w:proofErr w:type="gramEnd"/>
    </w:p>
    <w:p w14:paraId="51B7D6BF" w14:textId="77777777" w:rsidR="001F4AA7" w:rsidRPr="00E6194F" w:rsidRDefault="001F4AA7" w:rsidP="001F4AA7">
      <w:pPr>
        <w:pStyle w:val="BodyText"/>
        <w:numPr>
          <w:ilvl w:val="0"/>
          <w:numId w:val="2"/>
        </w:numPr>
      </w:pPr>
      <w:r>
        <w:t>Onward removal of oils or liquid pollutants.</w:t>
      </w:r>
    </w:p>
    <w:p w14:paraId="14B62E76" w14:textId="77777777" w:rsidR="001F4AA7" w:rsidRDefault="001F4AA7" w:rsidP="001F4AA7">
      <w:pPr>
        <w:pStyle w:val="BodyText"/>
      </w:pPr>
      <w:r w:rsidRPr="00230BF9">
        <w:t>The</w:t>
      </w:r>
      <w:r>
        <w:t xml:space="preserve"> vessel Master/Skipper shall provide the risk assessment. The Port Manager should expect to be involved in preparing the risk assessment and shall hold a copy of the risk assessment in the Port filing system. </w:t>
      </w:r>
    </w:p>
    <w:p w14:paraId="68D3FA1A" w14:textId="4F257115" w:rsidR="001F4AA7" w:rsidRDefault="001F4AA7"/>
    <w:sectPr w:rsidR="001F4AA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1A13E" w14:textId="77777777" w:rsidR="001F4AA7" w:rsidRDefault="001F4AA7" w:rsidP="001F4AA7">
      <w:r>
        <w:separator/>
      </w:r>
    </w:p>
  </w:endnote>
  <w:endnote w:type="continuationSeparator" w:id="0">
    <w:p w14:paraId="32A2617F" w14:textId="77777777" w:rsidR="001F4AA7" w:rsidRDefault="001F4AA7" w:rsidP="001F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B22B" w14:textId="77777777" w:rsidR="001F4AA7" w:rsidRPr="00187976" w:rsidRDefault="001F4AA7" w:rsidP="001F4AA7">
    <w:pPr>
      <w:rPr>
        <w:sz w:val="18"/>
      </w:rPr>
    </w:pPr>
    <w:r>
      <w:rPr>
        <w:sz w:val="18"/>
      </w:rPr>
      <w:ptab w:relativeTo="margin" w:alignment="right" w:leader="none"/>
    </w:r>
    <w:r w:rsidRPr="00187976">
      <w:rPr>
        <w:sz w:val="18"/>
      </w:rPr>
      <w:t xml:space="preserve">Information Classification: Internal | Document Uncontrolled when Printed | Page </w:t>
    </w:r>
    <w:r w:rsidRPr="00187976">
      <w:rPr>
        <w:sz w:val="18"/>
      </w:rPr>
      <w:fldChar w:fldCharType="begin"/>
    </w:r>
    <w:r w:rsidRPr="00187976">
      <w:rPr>
        <w:sz w:val="18"/>
      </w:rPr>
      <w:instrText xml:space="preserve"> PAGE </w:instrText>
    </w:r>
    <w:r w:rsidRPr="00187976">
      <w:rPr>
        <w:sz w:val="18"/>
      </w:rPr>
      <w:fldChar w:fldCharType="separate"/>
    </w:r>
    <w:r>
      <w:rPr>
        <w:sz w:val="18"/>
      </w:rPr>
      <w:t>171</w:t>
    </w:r>
    <w:r w:rsidRPr="00187976">
      <w:rPr>
        <w:sz w:val="18"/>
      </w:rPr>
      <w:fldChar w:fldCharType="end"/>
    </w:r>
    <w:r w:rsidRPr="00187976">
      <w:rPr>
        <w:sz w:val="18"/>
      </w:rPr>
      <w:t xml:space="preserve"> of </w:t>
    </w:r>
    <w:r w:rsidRPr="00187976">
      <w:rPr>
        <w:sz w:val="18"/>
      </w:rPr>
      <w:fldChar w:fldCharType="begin"/>
    </w:r>
    <w:r w:rsidRPr="00187976">
      <w:rPr>
        <w:sz w:val="18"/>
      </w:rPr>
      <w:instrText xml:space="preserve"> NUMPAGES </w:instrText>
    </w:r>
    <w:r w:rsidRPr="00187976">
      <w:rPr>
        <w:sz w:val="18"/>
      </w:rPr>
      <w:fldChar w:fldCharType="separate"/>
    </w:r>
    <w:r>
      <w:rPr>
        <w:sz w:val="18"/>
      </w:rPr>
      <w:t>193</w:t>
    </w:r>
    <w:r w:rsidRPr="00187976">
      <w:rPr>
        <w:sz w:val="18"/>
      </w:rPr>
      <w:fldChar w:fldCharType="end"/>
    </w:r>
  </w:p>
  <w:p w14:paraId="1B7AE496" w14:textId="49A39D64" w:rsidR="001F4AA7" w:rsidRDefault="001F4AA7">
    <w:pPr>
      <w:pStyle w:val="Footer"/>
    </w:pPr>
    <w:r w:rsidRPr="00187976">
      <w:rPr>
        <w:noProof/>
        <w:sz w:val="18"/>
      </w:rPr>
      <mc:AlternateContent>
        <mc:Choice Requires="wpg">
          <w:drawing>
            <wp:anchor distT="0" distB="0" distL="114300" distR="114300" simplePos="0" relativeHeight="251663360" behindDoc="1" locked="0" layoutInCell="1" allowOverlap="1" wp14:anchorId="24D9D355" wp14:editId="538D1ABA">
              <wp:simplePos x="0" y="0"/>
              <wp:positionH relativeFrom="margin">
                <wp:posOffset>0</wp:posOffset>
              </wp:positionH>
              <wp:positionV relativeFrom="paragraph">
                <wp:posOffset>0</wp:posOffset>
              </wp:positionV>
              <wp:extent cx="935990" cy="229870"/>
              <wp:effectExtent l="0" t="0" r="0" b="0"/>
              <wp:wrapNone/>
              <wp:docPr id="1663132768" name="Group 1663132768"/>
              <wp:cNvGraphicFramePr/>
              <a:graphic xmlns:a="http://schemas.openxmlformats.org/drawingml/2006/main">
                <a:graphicData uri="http://schemas.microsoft.com/office/word/2010/wordprocessingGroup">
                  <wpg:wgp>
                    <wpg:cNvGrpSpPr/>
                    <wpg:grpSpPr>
                      <a:xfrm>
                        <a:off x="0" y="0"/>
                        <a:ext cx="935990" cy="229870"/>
                        <a:chOff x="0" y="0"/>
                        <a:chExt cx="934720" cy="228600"/>
                      </a:xfrm>
                    </wpg:grpSpPr>
                    <pic:pic xmlns:pic="http://schemas.openxmlformats.org/drawingml/2006/picture">
                      <pic:nvPicPr>
                        <pic:cNvPr id="393078953" name="Graphic 393078953"/>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718820" y="10160"/>
                          <a:ext cx="215900" cy="215900"/>
                        </a:xfrm>
                        <a:prstGeom prst="rect">
                          <a:avLst/>
                        </a:prstGeom>
                      </pic:spPr>
                    </pic:pic>
                    <pic:pic xmlns:pic="http://schemas.openxmlformats.org/drawingml/2006/picture">
                      <pic:nvPicPr>
                        <pic:cNvPr id="1210479074" name="Graphic 1210479074"/>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15900" cy="215900"/>
                        </a:xfrm>
                        <a:prstGeom prst="rect">
                          <a:avLst/>
                        </a:prstGeom>
                      </pic:spPr>
                    </pic:pic>
                    <pic:pic xmlns:pic="http://schemas.openxmlformats.org/drawingml/2006/picture">
                      <pic:nvPicPr>
                        <pic:cNvPr id="1209311895" name="Graphic 1209311895"/>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360680" y="12700"/>
                          <a:ext cx="215900" cy="215900"/>
                        </a:xfrm>
                        <a:prstGeom prst="rect">
                          <a:avLst/>
                        </a:prstGeom>
                      </pic:spPr>
                    </pic:pic>
                  </wpg:wgp>
                </a:graphicData>
              </a:graphic>
            </wp:anchor>
          </w:drawing>
        </mc:Choice>
        <mc:Fallback>
          <w:pict>
            <v:group w14:anchorId="77F04B7E" id="Group 1663132768" o:spid="_x0000_s1026" style="position:absolute;margin-left:0;margin-top:0;width:73.7pt;height:18.1pt;z-index:-251653120;mso-position-horizontal-relative:margin" coordsize="9347,228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93078953" o:spid="_x0000_s1027" type="#_x0000_t75" style="position:absolute;left:7188;top:101;width:215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">
                <v:imagedata r:id="rId7" o:title=""/>
              </v:shape>
              <v:shape id="Graphic 1210479074" o:spid="_x0000_s1028" type="#_x0000_t75" style="position:absolute;width:215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">
                <v:imagedata r:id="rId8" o:title=""/>
              </v:shape>
              <v:shape id="Graphic 1209311895" o:spid="_x0000_s1029" type="#_x0000_t75" style="position:absolute;left:3606;top:127;width:215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">
                <v:imagedata r:id="rId9"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7B65B" w14:textId="77777777" w:rsidR="001F4AA7" w:rsidRDefault="001F4AA7" w:rsidP="001F4AA7">
      <w:r>
        <w:separator/>
      </w:r>
    </w:p>
  </w:footnote>
  <w:footnote w:type="continuationSeparator" w:id="0">
    <w:p w14:paraId="78D1499C" w14:textId="77777777" w:rsidR="001F4AA7" w:rsidRDefault="001F4AA7" w:rsidP="001F4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9577" w14:textId="7619CD07" w:rsidR="001F4AA7" w:rsidRDefault="001F4AA7">
    <w:pPr>
      <w:pStyle w:val="Header"/>
    </w:pPr>
    <w:r w:rsidRPr="00322307">
      <w:rPr>
        <w:noProof/>
      </w:rPr>
      <w:drawing>
        <wp:anchor distT="0" distB="0" distL="114300" distR="114300" simplePos="0" relativeHeight="251661312" behindDoc="0" locked="0" layoutInCell="1" allowOverlap="1" wp14:anchorId="56DB7F00" wp14:editId="1D0570EF">
          <wp:simplePos x="0" y="0"/>
          <wp:positionH relativeFrom="margin">
            <wp:posOffset>5598543</wp:posOffset>
          </wp:positionH>
          <wp:positionV relativeFrom="paragraph">
            <wp:posOffset>-303973</wp:posOffset>
          </wp:positionV>
          <wp:extent cx="800212" cy="695422"/>
          <wp:effectExtent l="0" t="0" r="0" b="9525"/>
          <wp:wrapSquare wrapText="bothSides"/>
          <wp:docPr id="641281497" name="Picture 641281497" descr="A red square with a yellow lion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81497" name="Picture 641281497" descr="A red square with a yellow lion in the cen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00212" cy="695422"/>
                  </a:xfrm>
                  <a:prstGeom prst="rect">
                    <a:avLst/>
                  </a:prstGeom>
                </pic:spPr>
              </pic:pic>
            </a:graphicData>
          </a:graphic>
        </wp:anchor>
      </w:drawing>
    </w:r>
    <w:r w:rsidRPr="00322307">
      <w:rPr>
        <w:noProof/>
      </w:rPr>
      <w:drawing>
        <wp:anchor distT="0" distB="0" distL="114300" distR="114300" simplePos="0" relativeHeight="251659264" behindDoc="0" locked="0" layoutInCell="1" allowOverlap="1" wp14:anchorId="15A2971F" wp14:editId="38B75021">
          <wp:simplePos x="0" y="0"/>
          <wp:positionH relativeFrom="margin">
            <wp:posOffset>0</wp:posOffset>
          </wp:positionH>
          <wp:positionV relativeFrom="paragraph">
            <wp:posOffset>-635</wp:posOffset>
          </wp:positionV>
          <wp:extent cx="2235200" cy="391795"/>
          <wp:effectExtent l="0" t="0" r="0" b="8255"/>
          <wp:wrapNone/>
          <wp:docPr id="451312819" name="Picture 451312819"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12819" name="Picture 451312819" descr="A black and whit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35200" cy="391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10022"/>
    <w:multiLevelType w:val="hybridMultilevel"/>
    <w:tmpl w:val="8788DF5C"/>
    <w:lvl w:ilvl="0" w:tplc="2682BA0E">
      <w:start w:val="1"/>
      <w:numFmt w:val="decimal"/>
      <w:lvlText w:val="%1."/>
      <w:lvlJc w:val="left"/>
      <w:pPr>
        <w:ind w:left="777" w:hanging="360"/>
      </w:pPr>
      <w:rPr>
        <w:rFonts w:cstheme="minorHAnsi" w:hint="default"/>
        <w:sz w:val="2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 w15:restartNumberingAfterBreak="0">
    <w:nsid w:val="2AE960F7"/>
    <w:multiLevelType w:val="hybridMultilevel"/>
    <w:tmpl w:val="7728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605042"/>
    <w:multiLevelType w:val="hybridMultilevel"/>
    <w:tmpl w:val="077ED2E0"/>
    <w:lvl w:ilvl="0" w:tplc="797272A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44FB0"/>
    <w:multiLevelType w:val="hybridMultilevel"/>
    <w:tmpl w:val="B758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BC249A"/>
    <w:multiLevelType w:val="hybridMultilevel"/>
    <w:tmpl w:val="CE345C48"/>
    <w:lvl w:ilvl="0" w:tplc="797272A0">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065910">
    <w:abstractNumId w:val="4"/>
  </w:num>
  <w:num w:numId="2" w16cid:durableId="1431853137">
    <w:abstractNumId w:val="2"/>
  </w:num>
  <w:num w:numId="3" w16cid:durableId="518199986">
    <w:abstractNumId w:val="3"/>
  </w:num>
  <w:num w:numId="4" w16cid:durableId="925306190">
    <w:abstractNumId w:val="1"/>
  </w:num>
  <w:num w:numId="5" w16cid:durableId="169299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A7"/>
    <w:rsid w:val="001F4AA7"/>
    <w:rsid w:val="00467D0C"/>
    <w:rsid w:val="005D1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0B89"/>
  <w15:chartTrackingRefBased/>
  <w15:docId w15:val="{C87800A0-AD89-4551-A494-18F7DDEE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rsid w:val="001F4AA7"/>
    <w:pPr>
      <w:spacing w:after="0" w:line="240" w:lineRule="auto"/>
    </w:pPr>
    <w:rPr>
      <w:kern w:val="0"/>
      <w:sz w:val="22"/>
      <w:szCs w:val="22"/>
      <w14:ligatures w14:val="none"/>
    </w:rPr>
  </w:style>
  <w:style w:type="paragraph" w:styleId="Heading1">
    <w:name w:val="heading 1"/>
    <w:basedOn w:val="Normal"/>
    <w:next w:val="Normal"/>
    <w:link w:val="Heading1Char"/>
    <w:qFormat/>
    <w:rsid w:val="001F4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4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4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A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A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A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A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4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AA7"/>
    <w:rPr>
      <w:rFonts w:eastAsiaTheme="majorEastAsia" w:cstheme="majorBidi"/>
      <w:color w:val="272727" w:themeColor="text1" w:themeTint="D8"/>
    </w:rPr>
  </w:style>
  <w:style w:type="paragraph" w:styleId="Title">
    <w:name w:val="Title"/>
    <w:basedOn w:val="Normal"/>
    <w:next w:val="Normal"/>
    <w:link w:val="TitleChar"/>
    <w:uiPriority w:val="10"/>
    <w:qFormat/>
    <w:rsid w:val="001F4A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A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AA7"/>
    <w:pPr>
      <w:spacing w:before="160"/>
      <w:jc w:val="center"/>
    </w:pPr>
    <w:rPr>
      <w:i/>
      <w:iCs/>
      <w:color w:val="404040" w:themeColor="text1" w:themeTint="BF"/>
    </w:rPr>
  </w:style>
  <w:style w:type="character" w:customStyle="1" w:styleId="QuoteChar">
    <w:name w:val="Quote Char"/>
    <w:basedOn w:val="DefaultParagraphFont"/>
    <w:link w:val="Quote"/>
    <w:uiPriority w:val="29"/>
    <w:rsid w:val="001F4AA7"/>
    <w:rPr>
      <w:i/>
      <w:iCs/>
      <w:color w:val="404040" w:themeColor="text1" w:themeTint="BF"/>
    </w:rPr>
  </w:style>
  <w:style w:type="paragraph" w:styleId="ListParagraph">
    <w:name w:val="List Paragraph"/>
    <w:basedOn w:val="Normal"/>
    <w:link w:val="ListParagraphChar"/>
    <w:uiPriority w:val="34"/>
    <w:qFormat/>
    <w:rsid w:val="001F4AA7"/>
    <w:pPr>
      <w:ind w:left="720"/>
      <w:contextualSpacing/>
    </w:pPr>
  </w:style>
  <w:style w:type="character" w:styleId="IntenseEmphasis">
    <w:name w:val="Intense Emphasis"/>
    <w:basedOn w:val="DefaultParagraphFont"/>
    <w:uiPriority w:val="21"/>
    <w:qFormat/>
    <w:rsid w:val="001F4AA7"/>
    <w:rPr>
      <w:i/>
      <w:iCs/>
      <w:color w:val="0F4761" w:themeColor="accent1" w:themeShade="BF"/>
    </w:rPr>
  </w:style>
  <w:style w:type="paragraph" w:styleId="IntenseQuote">
    <w:name w:val="Intense Quote"/>
    <w:basedOn w:val="Normal"/>
    <w:next w:val="Normal"/>
    <w:link w:val="IntenseQuoteChar"/>
    <w:uiPriority w:val="30"/>
    <w:qFormat/>
    <w:rsid w:val="001F4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AA7"/>
    <w:rPr>
      <w:i/>
      <w:iCs/>
      <w:color w:val="0F4761" w:themeColor="accent1" w:themeShade="BF"/>
    </w:rPr>
  </w:style>
  <w:style w:type="character" w:styleId="IntenseReference">
    <w:name w:val="Intense Reference"/>
    <w:basedOn w:val="DefaultParagraphFont"/>
    <w:uiPriority w:val="32"/>
    <w:qFormat/>
    <w:rsid w:val="001F4AA7"/>
    <w:rPr>
      <w:b/>
      <w:bCs/>
      <w:smallCaps/>
      <w:color w:val="0F4761" w:themeColor="accent1" w:themeShade="BF"/>
      <w:spacing w:val="5"/>
    </w:rPr>
  </w:style>
  <w:style w:type="character" w:styleId="Hyperlink">
    <w:name w:val="Hyperlink"/>
    <w:basedOn w:val="DefaultParagraphFont"/>
    <w:uiPriority w:val="99"/>
    <w:rsid w:val="001F4AA7"/>
    <w:rPr>
      <w:color w:val="467886" w:themeColor="hyperlink"/>
      <w:u w:val="single"/>
    </w:rPr>
  </w:style>
  <w:style w:type="paragraph" w:styleId="BodyText">
    <w:name w:val="Body Text"/>
    <w:basedOn w:val="Normal"/>
    <w:link w:val="BodyTextChar"/>
    <w:qFormat/>
    <w:rsid w:val="001F4AA7"/>
    <w:pPr>
      <w:spacing w:after="120"/>
      <w:jc w:val="both"/>
    </w:pPr>
  </w:style>
  <w:style w:type="character" w:customStyle="1" w:styleId="BodyTextChar">
    <w:name w:val="Body Text Char"/>
    <w:basedOn w:val="DefaultParagraphFont"/>
    <w:link w:val="BodyText"/>
    <w:rsid w:val="001F4AA7"/>
    <w:rPr>
      <w:kern w:val="0"/>
      <w:sz w:val="22"/>
      <w:szCs w:val="22"/>
      <w14:ligatures w14:val="none"/>
    </w:rPr>
  </w:style>
  <w:style w:type="paragraph" w:customStyle="1" w:styleId="paragraph">
    <w:name w:val="paragraph"/>
    <w:basedOn w:val="Normal"/>
    <w:rsid w:val="001F4A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4AA7"/>
  </w:style>
  <w:style w:type="character" w:customStyle="1" w:styleId="ListParagraphChar">
    <w:name w:val="List Paragraph Char"/>
    <w:basedOn w:val="DefaultParagraphFont"/>
    <w:link w:val="ListParagraph"/>
    <w:uiPriority w:val="34"/>
    <w:rsid w:val="001F4AA7"/>
  </w:style>
  <w:style w:type="character" w:customStyle="1" w:styleId="eop">
    <w:name w:val="eop"/>
    <w:basedOn w:val="DefaultParagraphFont"/>
    <w:rsid w:val="001F4AA7"/>
  </w:style>
  <w:style w:type="paragraph" w:styleId="Header">
    <w:name w:val="header"/>
    <w:basedOn w:val="Normal"/>
    <w:link w:val="HeaderChar"/>
    <w:uiPriority w:val="99"/>
    <w:unhideWhenUsed/>
    <w:rsid w:val="001F4AA7"/>
    <w:pPr>
      <w:tabs>
        <w:tab w:val="center" w:pos="4513"/>
        <w:tab w:val="right" w:pos="9026"/>
      </w:tabs>
    </w:pPr>
  </w:style>
  <w:style w:type="character" w:customStyle="1" w:styleId="HeaderChar">
    <w:name w:val="Header Char"/>
    <w:basedOn w:val="DefaultParagraphFont"/>
    <w:link w:val="Header"/>
    <w:uiPriority w:val="99"/>
    <w:rsid w:val="001F4AA7"/>
    <w:rPr>
      <w:kern w:val="0"/>
      <w:sz w:val="22"/>
      <w:szCs w:val="22"/>
      <w14:ligatures w14:val="none"/>
    </w:rPr>
  </w:style>
  <w:style w:type="paragraph" w:styleId="Footer">
    <w:name w:val="footer"/>
    <w:basedOn w:val="Normal"/>
    <w:link w:val="FooterChar"/>
    <w:uiPriority w:val="99"/>
    <w:unhideWhenUsed/>
    <w:rsid w:val="001F4AA7"/>
    <w:pPr>
      <w:tabs>
        <w:tab w:val="center" w:pos="4513"/>
        <w:tab w:val="right" w:pos="9026"/>
      </w:tabs>
    </w:pPr>
  </w:style>
  <w:style w:type="character" w:customStyle="1" w:styleId="FooterChar">
    <w:name w:val="Footer Char"/>
    <w:basedOn w:val="DefaultParagraphFont"/>
    <w:link w:val="Footer"/>
    <w:uiPriority w:val="99"/>
    <w:rsid w:val="001F4AA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calmac.co.uk/media/vcclfpze/chfs-omm-fo069-ma001-form-2169-pre-delivery-bunkering-procedures-checklist-road-tanker-delivery.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calmac.co.uk/media/qn5dzesm/chfs-omm-fo070-ma001-form-2168-pre-delivery-bunkering-procedures-checklist-barge-delivery.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ts.calmac.co.uk/media/p11fsoru/chfs-omm-fo068-ma001-form-2170-pre-delivery-bunkering-procedures-checklist-truck-lorry-delivery.docx"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Campbell</dc:creator>
  <cp:keywords/>
  <dc:description/>
  <cp:lastModifiedBy>Colin Campbell</cp:lastModifiedBy>
  <cp:revision>1</cp:revision>
  <dcterms:created xsi:type="dcterms:W3CDTF">2025-06-19T08:03:00Z</dcterms:created>
  <dcterms:modified xsi:type="dcterms:W3CDTF">2025-06-19T08:26:00Z</dcterms:modified>
</cp:coreProperties>
</file>